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BE" w:rsidRDefault="009244BE" w:rsidP="0029660F">
      <w:pPr>
        <w:spacing w:line="360" w:lineRule="auto"/>
        <w:jc w:val="left"/>
        <w:rPr>
          <w:rFonts w:asciiTheme="majorEastAsia" w:eastAsiaTheme="majorEastAsia" w:hAnsiTheme="majorEastAsia" w:cs="华文中宋"/>
          <w:bCs/>
          <w:sz w:val="30"/>
          <w:szCs w:val="30"/>
          <w:lang w:val="zh-TW"/>
        </w:rPr>
      </w:pPr>
      <w:bookmarkStart w:id="0" w:name="_Hlk22556483"/>
      <w:r w:rsidRPr="009244BE">
        <w:rPr>
          <w:rFonts w:asciiTheme="majorEastAsia" w:eastAsiaTheme="majorEastAsia" w:hAnsiTheme="majorEastAsia" w:cs="华文中宋" w:hint="eastAsia"/>
          <w:bCs/>
          <w:sz w:val="30"/>
          <w:szCs w:val="30"/>
          <w:lang w:val="zh-TW"/>
        </w:rPr>
        <w:t>附件</w:t>
      </w:r>
      <w:r w:rsidR="004E1C84">
        <w:rPr>
          <w:rFonts w:asciiTheme="majorEastAsia" w:eastAsiaTheme="majorEastAsia" w:hAnsiTheme="majorEastAsia" w:cs="华文中宋" w:hint="eastAsia"/>
          <w:bCs/>
          <w:sz w:val="30"/>
          <w:szCs w:val="30"/>
          <w:lang w:val="zh-TW"/>
        </w:rPr>
        <w:t>1</w:t>
      </w:r>
      <w:bookmarkStart w:id="1" w:name="_GoBack"/>
      <w:bookmarkEnd w:id="1"/>
    </w:p>
    <w:p w:rsidR="0029660F" w:rsidRPr="009244BE" w:rsidRDefault="0029660F" w:rsidP="009244BE">
      <w:pPr>
        <w:spacing w:line="360" w:lineRule="auto"/>
        <w:ind w:firstLine="423"/>
        <w:jc w:val="left"/>
        <w:rPr>
          <w:rFonts w:asciiTheme="majorEastAsia" w:eastAsiaTheme="majorEastAsia" w:hAnsiTheme="majorEastAsia" w:cs="华文中宋"/>
          <w:bCs/>
          <w:sz w:val="30"/>
          <w:szCs w:val="30"/>
          <w:lang w:val="zh-TW"/>
        </w:rPr>
      </w:pPr>
    </w:p>
    <w:p w:rsidR="00326402" w:rsidRDefault="00286C9D" w:rsidP="009244BE">
      <w:pPr>
        <w:spacing w:line="360" w:lineRule="auto"/>
        <w:ind w:firstLine="423"/>
        <w:jc w:val="center"/>
        <w:rPr>
          <w:rFonts w:asciiTheme="minorEastAsia" w:hAnsiTheme="minorEastAsia" w:cs="华文中宋"/>
          <w:b/>
          <w:bCs/>
          <w:sz w:val="44"/>
          <w:szCs w:val="44"/>
          <w:lang w:val="zh-TW"/>
        </w:rPr>
      </w:pPr>
      <w:r w:rsidRPr="009244BE">
        <w:rPr>
          <w:rFonts w:asciiTheme="minorEastAsia" w:hAnsiTheme="minorEastAsia" w:cs="华文中宋"/>
          <w:b/>
          <w:bCs/>
          <w:sz w:val="44"/>
          <w:szCs w:val="44"/>
          <w:lang w:val="zh-TW" w:eastAsia="zh-TW"/>
        </w:rPr>
        <w:t>人民法院委托资产评估</w:t>
      </w:r>
      <w:bookmarkStart w:id="2" w:name="_Hlk22629888"/>
      <w:bookmarkEnd w:id="0"/>
      <w:r w:rsidRPr="009244BE">
        <w:rPr>
          <w:rFonts w:asciiTheme="minorEastAsia" w:hAnsiTheme="minorEastAsia" w:cs="华文中宋"/>
          <w:b/>
          <w:bCs/>
          <w:sz w:val="44"/>
          <w:szCs w:val="44"/>
          <w:lang w:val="zh-TW" w:eastAsia="zh-TW"/>
        </w:rPr>
        <w:t>专业技术评审人员库</w:t>
      </w:r>
      <w:bookmarkEnd w:id="2"/>
      <w:r w:rsidRPr="009244BE">
        <w:rPr>
          <w:rFonts w:asciiTheme="minorEastAsia" w:hAnsiTheme="minorEastAsia" w:cs="华文中宋"/>
          <w:b/>
          <w:bCs/>
          <w:sz w:val="44"/>
          <w:szCs w:val="44"/>
          <w:lang w:val="zh-TW" w:eastAsia="zh-TW"/>
        </w:rPr>
        <w:t>管理办法（试行）</w:t>
      </w:r>
    </w:p>
    <w:p w:rsidR="009244BE" w:rsidRPr="009244BE" w:rsidRDefault="009244BE" w:rsidP="009244BE">
      <w:pPr>
        <w:spacing w:line="360" w:lineRule="auto"/>
        <w:ind w:firstLine="423"/>
        <w:jc w:val="center"/>
        <w:rPr>
          <w:rFonts w:asciiTheme="minorEastAsia" w:hAnsiTheme="minorEastAsia" w:cs="仿宋_GB2312"/>
          <w:b/>
          <w:bCs/>
          <w:sz w:val="32"/>
          <w:szCs w:val="32"/>
          <w:lang w:val="zh-TW"/>
        </w:rPr>
      </w:pP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第一条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为规范各省、自治区、直辖市资产评估协会（有关注册会计师协会）（以下简称地方协会）对人民法院委托资产评估中专业技术评审人员库及专业技术评审人员的管理，维护当事人、利害关系人的合法权益，根据《最高人民法院关于人民法院确定财产处置参考价若干问题的规定》《人民法院委托评估专业技术评审工作规范》《人民法院委托资产评估专业技术评审工作实施细则》等有关规定，制定本办法。</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第二条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本办法所称专业技术评审人员库，是指地方协会为接受人民法院委托，对确定财产处置参考价资产评估中的专业技术进行评审而建立的人员库。</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第三条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地方协会应当建立本级专业技术评审人员名单库，并向社会公开。</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第四条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地方协会应当根据本办法的规定开展专业技术评审人员的入库和除名工作。</w:t>
      </w:r>
    </w:p>
    <w:p w:rsidR="00326402" w:rsidRPr="009244BE" w:rsidRDefault="00286C9D" w:rsidP="009244BE">
      <w:pPr>
        <w:spacing w:line="360" w:lineRule="auto"/>
        <w:ind w:firstLine="640"/>
        <w:rPr>
          <w:rFonts w:ascii="仿宋" w:eastAsia="仿宋" w:hAnsi="仿宋"/>
          <w:sz w:val="30"/>
          <w:szCs w:val="30"/>
        </w:rPr>
      </w:pPr>
      <w:r w:rsidRPr="009244BE">
        <w:rPr>
          <w:rFonts w:ascii="仿宋" w:eastAsia="仿宋" w:hAnsi="仿宋" w:hint="eastAsia"/>
          <w:sz w:val="30"/>
          <w:szCs w:val="30"/>
          <w:lang w:val="zh-TW" w:eastAsia="zh-TW"/>
        </w:rPr>
        <w:t>第五条</w:t>
      </w:r>
      <w:r w:rsidRPr="009244BE">
        <w:rPr>
          <w:rFonts w:ascii="仿宋" w:eastAsia="仿宋" w:hAnsi="仿宋"/>
          <w:sz w:val="30"/>
          <w:szCs w:val="30"/>
        </w:rPr>
        <w:t xml:space="preserve"> </w:t>
      </w:r>
      <w:r w:rsidRPr="009244BE">
        <w:rPr>
          <w:rFonts w:ascii="仿宋" w:eastAsia="仿宋" w:hAnsi="仿宋" w:hint="eastAsia"/>
          <w:sz w:val="30"/>
          <w:szCs w:val="30"/>
          <w:lang w:val="zh-TW" w:eastAsia="zh-TW"/>
        </w:rPr>
        <w:t>本地区具备以下条件的资产评估专业人员或行业专家可以向地方协会提出入库申请，由地方协会择优选入专业技术评审人员库：</w:t>
      </w:r>
      <w:r w:rsidRPr="009244BE">
        <w:rPr>
          <w:rFonts w:ascii="仿宋" w:eastAsia="仿宋" w:hAnsi="仿宋"/>
          <w:sz w:val="30"/>
          <w:szCs w:val="30"/>
          <w:lang w:val="zh-TW" w:eastAsia="zh-TW"/>
        </w:rPr>
        <w:t xml:space="preserve"> </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（一）资产评估专业人员应当具备资产评估师执业资格，</w:t>
      </w:r>
      <w:r w:rsidRPr="009244BE">
        <w:rPr>
          <w:rFonts w:ascii="仿宋" w:eastAsia="仿宋" w:hAnsi="仿宋" w:hint="eastAsia"/>
          <w:sz w:val="30"/>
          <w:szCs w:val="30"/>
          <w:lang w:val="zh-TW" w:eastAsia="zh-TW"/>
        </w:rPr>
        <w:lastRenderedPageBreak/>
        <w:t>具有较高的执业水平和创新能力，所负责的评估业务均未被相关监管部门和资产管理机构发现重大问题；</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（二）行业专家应当在经济社会领域有较高声望，具备较大的行业影响力，在本行业的管理、研究领域有较高造诣；</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（三）具有良好的社会声誉和职业道德；</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（四）遵纪守法、诚实守信，无不良记录；</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（五）专业委员会的委员、行业自律检查人员、首席评估师、质控负责人优先。</w:t>
      </w:r>
    </w:p>
    <w:p w:rsidR="00326402" w:rsidRPr="009244BE" w:rsidRDefault="00286C9D" w:rsidP="009244BE">
      <w:pPr>
        <w:spacing w:line="360" w:lineRule="auto"/>
        <w:ind w:firstLine="640"/>
        <w:rPr>
          <w:rFonts w:ascii="仿宋" w:eastAsia="仿宋" w:hAnsi="仿宋"/>
          <w:sz w:val="30"/>
          <w:szCs w:val="30"/>
        </w:rPr>
      </w:pPr>
      <w:r w:rsidRPr="009244BE">
        <w:rPr>
          <w:rFonts w:ascii="仿宋" w:eastAsia="仿宋" w:hAnsi="仿宋" w:hint="eastAsia"/>
          <w:sz w:val="30"/>
          <w:szCs w:val="30"/>
          <w:lang w:val="zh-TW" w:eastAsia="zh-TW"/>
        </w:rPr>
        <w:t>第六条</w:t>
      </w:r>
      <w:r w:rsidRPr="009244BE">
        <w:rPr>
          <w:rFonts w:ascii="仿宋" w:eastAsia="仿宋" w:hAnsi="仿宋"/>
          <w:sz w:val="30"/>
          <w:szCs w:val="30"/>
        </w:rPr>
        <w:t xml:space="preserve"> </w:t>
      </w:r>
      <w:r w:rsidRPr="009244BE">
        <w:rPr>
          <w:rFonts w:ascii="仿宋" w:eastAsia="仿宋" w:hAnsi="仿宋" w:hint="eastAsia"/>
          <w:sz w:val="30"/>
          <w:szCs w:val="30"/>
          <w:lang w:val="zh-TW" w:eastAsia="zh-TW"/>
        </w:rPr>
        <w:t>具有下列情形之一的，不得入选专业技术评审人员库：</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（一）评估专业人员连续执业不满五年的；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（二）行业专家不具备高级职称或从事本行业管理、研究工作不满十年的；</w:t>
      </w:r>
    </w:p>
    <w:p w:rsidR="00326402" w:rsidRPr="009244BE" w:rsidRDefault="00286C9D" w:rsidP="009244BE">
      <w:pPr>
        <w:spacing w:line="360" w:lineRule="auto"/>
        <w:ind w:firstLine="640"/>
        <w:rPr>
          <w:rFonts w:ascii="仿宋" w:eastAsia="仿宋" w:hAnsi="仿宋"/>
          <w:sz w:val="30"/>
          <w:szCs w:val="30"/>
        </w:rPr>
      </w:pPr>
      <w:r w:rsidRPr="009244BE">
        <w:rPr>
          <w:rFonts w:ascii="仿宋" w:eastAsia="仿宋" w:hAnsi="仿宋" w:hint="eastAsia"/>
          <w:sz w:val="30"/>
          <w:szCs w:val="30"/>
          <w:lang w:val="zh-TW" w:eastAsia="zh-TW"/>
        </w:rPr>
        <w:t>（三）曾因违反《中华人民共和国资产评估法》等法律法规被相关行政管理部门予以警告、责令停止从业、没收违法所得，或构成犯罪，被依法追究刑事责任的；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（四）曾被判处过刑罚的；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（五）近五年曾因违反所属行业协会自律管理规定，受到过自律惩戒的；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（六）曾被人民法院依法纳入失信被执行人名单的。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第七条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专业技术评审人员有下列情形之一的，应当从专业技术评审人员名单库中除名，且五年内不得再次入库：</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（一）专业技术评审期间就评审事项与当事人、利害关系人、出具评估报告的评估机构或参加评估的人员不正当接触</w:t>
      </w:r>
      <w:r w:rsidRPr="009244BE">
        <w:rPr>
          <w:rFonts w:ascii="仿宋" w:eastAsia="仿宋" w:hAnsi="仿宋" w:hint="eastAsia"/>
          <w:sz w:val="30"/>
          <w:szCs w:val="30"/>
          <w:lang w:val="zh-TW" w:eastAsia="zh-TW"/>
        </w:rPr>
        <w:lastRenderedPageBreak/>
        <w:t>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（二）泄露专业技术评审意见及专业技术评审工作情况的；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（三）利用评审事项谋取私利或为他人谋取利益的；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（四）串通表决或诱导表决的；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（五）应当回避而未主动申请回避的；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（六）违反资产评估行业自律管理规定，受到自律惩戒的。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第八条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专业技术评审人员有下列情形之一的，应当从专业技术评审人员名单库中除名，且不得再次入库：</w:t>
      </w:r>
    </w:p>
    <w:p w:rsidR="00326402" w:rsidRPr="009244BE" w:rsidRDefault="00286C9D" w:rsidP="009244BE">
      <w:pPr>
        <w:spacing w:line="360" w:lineRule="auto"/>
        <w:ind w:firstLine="640"/>
        <w:rPr>
          <w:rFonts w:ascii="仿宋" w:eastAsia="仿宋" w:hAnsi="仿宋"/>
          <w:sz w:val="30"/>
          <w:szCs w:val="30"/>
        </w:rPr>
      </w:pPr>
      <w:r w:rsidRPr="009244BE">
        <w:rPr>
          <w:rFonts w:ascii="仿宋" w:eastAsia="仿宋" w:hAnsi="仿宋" w:hint="eastAsia"/>
          <w:sz w:val="30"/>
          <w:szCs w:val="30"/>
          <w:lang w:val="zh-TW" w:eastAsia="zh-TW"/>
        </w:rPr>
        <w:t>（一）因违反《中华人民共和国资产评估法》等法律法规被相关行政管理部门予以警告、责令停止从业、没收违法所得，或构成犯罪，被依法追究刑事责任的；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（二）被判处刑罚的；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（三）被人民法院依法纳入失信被执行人名单的。</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第九条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地方协会应当公开专业技术评审人员除名情况。</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第十条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入选专业技术评审人员名单库的评审人员应当诚实守信、勤勉尽责、谨慎从业，坚持独立、客观、公正的原则，根据地方协会的安排，执行人民法院委托资产评估中的专业技术评审工作。</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第十一条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入选专业技术评审人员名单库的评审人员作为专家组成员，在执行人民法院委托资产评估专业技术评审期间，不得就评审事项与当事人、利害关系人、出具评估报告的评估机构或参加评估的人员有不正当接触。</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lastRenderedPageBreak/>
        <w:t>第十二条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当事人、利害关系人提供证据证明专家组成员在专业技术评审期间就评审事项与当事人、利害关系人、出具评估报告的评估机构或参加评估的人员有不正当接触，地方协会应当按照人民法院的要求更换专家组成员重新进行专业技术评审，并将该人从专业技术评审人员名单库中除名。</w:t>
      </w:r>
    </w:p>
    <w:p w:rsidR="00326402" w:rsidRPr="009244BE" w:rsidRDefault="00286C9D" w:rsidP="009244BE">
      <w:pPr>
        <w:spacing w:line="360" w:lineRule="auto"/>
        <w:ind w:firstLine="640"/>
        <w:rPr>
          <w:rFonts w:ascii="仿宋" w:eastAsia="仿宋" w:hAnsi="仿宋"/>
          <w:sz w:val="30"/>
          <w:szCs w:val="30"/>
        </w:rPr>
      </w:pPr>
      <w:r w:rsidRPr="009244BE">
        <w:rPr>
          <w:rFonts w:ascii="仿宋" w:eastAsia="仿宋" w:hAnsi="仿宋" w:hint="eastAsia"/>
          <w:sz w:val="30"/>
          <w:szCs w:val="30"/>
          <w:lang w:val="zh-TW" w:eastAsia="zh-TW"/>
        </w:rPr>
        <w:t>第十三条</w:t>
      </w:r>
      <w:r w:rsidRPr="009244BE">
        <w:rPr>
          <w:rFonts w:ascii="仿宋" w:eastAsia="仿宋" w:hAnsi="仿宋"/>
          <w:sz w:val="30"/>
          <w:szCs w:val="30"/>
        </w:rPr>
        <w:t xml:space="preserve"> </w:t>
      </w:r>
      <w:r w:rsidRPr="009244BE">
        <w:rPr>
          <w:rFonts w:ascii="仿宋" w:eastAsia="仿宋" w:hAnsi="仿宋" w:hint="eastAsia"/>
          <w:sz w:val="30"/>
          <w:szCs w:val="30"/>
          <w:lang w:val="zh-TW" w:eastAsia="zh-TW"/>
        </w:rPr>
        <w:t>地方协会可以根据专业技术评审业务的需求，按照规定的程序增加新的资产评估专业人员或行业专家入选专业技术评审人员名单库</w:t>
      </w:r>
      <w:r w:rsidR="00911ACE" w:rsidRPr="009244BE">
        <w:rPr>
          <w:rFonts w:ascii="仿宋" w:eastAsia="仿宋" w:hAnsi="仿宋" w:hint="eastAsia"/>
          <w:sz w:val="30"/>
          <w:szCs w:val="30"/>
          <w:lang w:val="zh-TW"/>
        </w:rPr>
        <w:t>，并报中评协备案</w:t>
      </w:r>
      <w:r w:rsidRPr="009244BE">
        <w:rPr>
          <w:rFonts w:ascii="仿宋" w:eastAsia="仿宋" w:hAnsi="仿宋" w:hint="eastAsia"/>
          <w:sz w:val="30"/>
          <w:szCs w:val="30"/>
          <w:lang w:val="zh-TW" w:eastAsia="zh-TW"/>
        </w:rPr>
        <w:t>。</w:t>
      </w:r>
    </w:p>
    <w:p w:rsidR="00326402" w:rsidRPr="009244BE" w:rsidRDefault="00286C9D" w:rsidP="009244BE">
      <w:pPr>
        <w:spacing w:line="360" w:lineRule="auto"/>
        <w:ind w:firstLine="640"/>
        <w:rPr>
          <w:rFonts w:ascii="仿宋" w:eastAsia="仿宋" w:hAnsi="仿宋"/>
          <w:sz w:val="30"/>
          <w:szCs w:val="30"/>
          <w:lang w:val="zh-TW" w:eastAsia="zh-TW"/>
        </w:rPr>
      </w:pPr>
      <w:r w:rsidRPr="009244BE">
        <w:rPr>
          <w:rFonts w:ascii="仿宋" w:eastAsia="仿宋" w:hAnsi="仿宋" w:hint="eastAsia"/>
          <w:sz w:val="30"/>
          <w:szCs w:val="30"/>
          <w:lang w:val="zh-TW" w:eastAsia="zh-TW"/>
        </w:rPr>
        <w:t>第十四条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本办法的解释权归中国资产评估协会。</w:t>
      </w:r>
    </w:p>
    <w:p w:rsidR="00326402" w:rsidRPr="009244BE" w:rsidRDefault="00286C9D" w:rsidP="009244BE">
      <w:pPr>
        <w:spacing w:line="360" w:lineRule="auto"/>
        <w:ind w:firstLine="640"/>
        <w:rPr>
          <w:rFonts w:ascii="仿宋" w:eastAsia="仿宋" w:hAnsi="仿宋"/>
          <w:sz w:val="30"/>
          <w:szCs w:val="30"/>
        </w:rPr>
      </w:pPr>
      <w:r w:rsidRPr="009244BE">
        <w:rPr>
          <w:rFonts w:ascii="仿宋" w:eastAsia="仿宋" w:hAnsi="仿宋" w:hint="eastAsia"/>
          <w:sz w:val="30"/>
          <w:szCs w:val="30"/>
          <w:lang w:val="zh-TW" w:eastAsia="zh-TW"/>
        </w:rPr>
        <w:t>第十五条</w:t>
      </w:r>
      <w:r w:rsidRPr="009244BE">
        <w:rPr>
          <w:rFonts w:ascii="仿宋" w:eastAsia="仿宋" w:hAnsi="仿宋"/>
          <w:sz w:val="30"/>
          <w:szCs w:val="30"/>
          <w:lang w:val="zh-TW" w:eastAsia="zh-TW"/>
        </w:rPr>
        <w:t xml:space="preserve"> </w:t>
      </w:r>
      <w:r w:rsidRPr="009244BE">
        <w:rPr>
          <w:rFonts w:ascii="仿宋" w:eastAsia="仿宋" w:hAnsi="仿宋" w:hint="eastAsia"/>
          <w:sz w:val="30"/>
          <w:szCs w:val="30"/>
          <w:lang w:val="zh-TW" w:eastAsia="zh-TW"/>
        </w:rPr>
        <w:t>本办法自</w:t>
      </w:r>
      <w:r w:rsidRPr="009244BE">
        <w:rPr>
          <w:rFonts w:ascii="仿宋" w:eastAsia="仿宋" w:hAnsi="仿宋"/>
          <w:sz w:val="30"/>
          <w:szCs w:val="30"/>
        </w:rPr>
        <w:t>20</w:t>
      </w:r>
      <w:r w:rsidR="009244BE">
        <w:rPr>
          <w:rFonts w:ascii="仿宋" w:eastAsia="仿宋" w:hAnsi="仿宋" w:hint="eastAsia"/>
          <w:sz w:val="30"/>
          <w:szCs w:val="30"/>
        </w:rPr>
        <w:t>19</w:t>
      </w:r>
      <w:r w:rsidRPr="009244BE">
        <w:rPr>
          <w:rFonts w:ascii="仿宋" w:eastAsia="仿宋" w:hAnsi="仿宋" w:hint="eastAsia"/>
          <w:sz w:val="30"/>
          <w:szCs w:val="30"/>
          <w:lang w:val="zh-TW" w:eastAsia="zh-TW"/>
        </w:rPr>
        <w:t>年</w:t>
      </w:r>
      <w:r w:rsidR="009244BE">
        <w:rPr>
          <w:rFonts w:ascii="仿宋" w:eastAsia="仿宋" w:hAnsi="仿宋" w:hint="eastAsia"/>
          <w:sz w:val="30"/>
          <w:szCs w:val="30"/>
        </w:rPr>
        <w:t>12</w:t>
      </w:r>
      <w:r w:rsidRPr="009244BE">
        <w:rPr>
          <w:rFonts w:ascii="仿宋" w:eastAsia="仿宋" w:hAnsi="仿宋" w:hint="eastAsia"/>
          <w:sz w:val="30"/>
          <w:szCs w:val="30"/>
          <w:lang w:val="zh-TW" w:eastAsia="zh-TW"/>
        </w:rPr>
        <w:t>月</w:t>
      </w:r>
      <w:r w:rsidR="009244BE">
        <w:rPr>
          <w:rFonts w:ascii="仿宋" w:eastAsia="仿宋" w:hAnsi="仿宋" w:hint="eastAsia"/>
          <w:sz w:val="30"/>
          <w:szCs w:val="30"/>
        </w:rPr>
        <w:t>10</w:t>
      </w:r>
      <w:r w:rsidRPr="009244BE">
        <w:rPr>
          <w:rFonts w:ascii="仿宋" w:eastAsia="仿宋" w:hAnsi="仿宋" w:hint="eastAsia"/>
          <w:sz w:val="30"/>
          <w:szCs w:val="30"/>
          <w:lang w:val="zh-TW" w:eastAsia="zh-TW"/>
        </w:rPr>
        <w:t>起施行。</w:t>
      </w:r>
    </w:p>
    <w:sectPr w:rsidR="00326402" w:rsidRPr="009244BE">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85" w:rsidRDefault="00116185">
      <w:r>
        <w:separator/>
      </w:r>
    </w:p>
  </w:endnote>
  <w:endnote w:type="continuationSeparator" w:id="0">
    <w:p w:rsidR="00116185" w:rsidRDefault="0011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Arial"/>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02" w:rsidRDefault="00286C9D">
    <w:pPr>
      <w:pStyle w:val="a5"/>
      <w:tabs>
        <w:tab w:val="clear" w:pos="8306"/>
        <w:tab w:val="right" w:pos="8280"/>
      </w:tabs>
      <w:jc w:val="center"/>
    </w:pPr>
    <w:r>
      <w:fldChar w:fldCharType="begin"/>
    </w:r>
    <w:r>
      <w:instrText xml:space="preserve"> PAGE </w:instrText>
    </w:r>
    <w:r>
      <w:fldChar w:fldCharType="separate"/>
    </w:r>
    <w:r w:rsidR="004E1C8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85" w:rsidRDefault="00116185">
      <w:r>
        <w:separator/>
      </w:r>
    </w:p>
  </w:footnote>
  <w:footnote w:type="continuationSeparator" w:id="0">
    <w:p w:rsidR="00116185" w:rsidRDefault="00116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proofState w:spelling="clean" w:grammar="clean"/>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02"/>
    <w:rsid w:val="00116185"/>
    <w:rsid w:val="00286C9D"/>
    <w:rsid w:val="0029660F"/>
    <w:rsid w:val="00326402"/>
    <w:rsid w:val="004E1C84"/>
    <w:rsid w:val="005960B0"/>
    <w:rsid w:val="0083791E"/>
    <w:rsid w:val="00911ACE"/>
    <w:rsid w:val="009244BE"/>
    <w:rsid w:val="00C370A4"/>
    <w:rsid w:val="00C6545F"/>
    <w:rsid w:val="00CB12DA"/>
    <w:rsid w:val="00CB1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Arial Unicode MS"/>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cs="Arial Unicode MS"/>
      <w:color w:val="000000"/>
      <w:kern w:val="2"/>
      <w:sz w:val="18"/>
      <w:szCs w:val="18"/>
      <w:u w:color="000000"/>
    </w:rPr>
  </w:style>
  <w:style w:type="paragraph" w:styleId="a6">
    <w:name w:val="header"/>
    <w:basedOn w:val="a"/>
    <w:link w:val="Char"/>
    <w:uiPriority w:val="99"/>
    <w:unhideWhenUsed/>
    <w:rsid w:val="00C65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6545F"/>
    <w:rPr>
      <w:rFonts w:cs="Arial Unicode MS"/>
      <w:color w:val="000000"/>
      <w:kern w:val="2"/>
      <w:sz w:val="18"/>
      <w:szCs w:val="18"/>
      <w:u w:color="000000"/>
      <w14:textOutline w14:w="0" w14:cap="flat" w14:cmpd="sng" w14:algn="ctr">
        <w14:noFill/>
        <w14:prstDash w14:val="solid"/>
        <w14:bevel/>
      </w14:textOutline>
    </w:rPr>
  </w:style>
  <w:style w:type="paragraph" w:styleId="a7">
    <w:name w:val="Balloon Text"/>
    <w:basedOn w:val="a"/>
    <w:link w:val="Char0"/>
    <w:uiPriority w:val="99"/>
    <w:semiHidden/>
    <w:unhideWhenUsed/>
    <w:rsid w:val="00911ACE"/>
    <w:rPr>
      <w:sz w:val="18"/>
      <w:szCs w:val="18"/>
    </w:rPr>
  </w:style>
  <w:style w:type="character" w:customStyle="1" w:styleId="Char0">
    <w:name w:val="批注框文本 Char"/>
    <w:basedOn w:val="a0"/>
    <w:link w:val="a7"/>
    <w:uiPriority w:val="99"/>
    <w:semiHidden/>
    <w:rsid w:val="00911ACE"/>
    <w:rPr>
      <w:rFonts w:cs="Arial Unicode MS"/>
      <w:color w:val="000000"/>
      <w:kern w:val="2"/>
      <w:sz w:val="18"/>
      <w:szCs w:val="18"/>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Arial Unicode MS"/>
      <w:color w:val="000000"/>
      <w:kern w:val="2"/>
      <w:sz w:val="21"/>
      <w:szCs w:val="21"/>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cs="Arial Unicode MS"/>
      <w:color w:val="000000"/>
      <w:kern w:val="2"/>
      <w:sz w:val="18"/>
      <w:szCs w:val="18"/>
      <w:u w:color="000000"/>
    </w:rPr>
  </w:style>
  <w:style w:type="paragraph" w:styleId="a6">
    <w:name w:val="header"/>
    <w:basedOn w:val="a"/>
    <w:link w:val="Char"/>
    <w:uiPriority w:val="99"/>
    <w:unhideWhenUsed/>
    <w:rsid w:val="00C654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C6545F"/>
    <w:rPr>
      <w:rFonts w:cs="Arial Unicode MS"/>
      <w:color w:val="000000"/>
      <w:kern w:val="2"/>
      <w:sz w:val="18"/>
      <w:szCs w:val="18"/>
      <w:u w:color="000000"/>
      <w14:textOutline w14:w="0" w14:cap="flat" w14:cmpd="sng" w14:algn="ctr">
        <w14:noFill/>
        <w14:prstDash w14:val="solid"/>
        <w14:bevel/>
      </w14:textOutline>
    </w:rPr>
  </w:style>
  <w:style w:type="paragraph" w:styleId="a7">
    <w:name w:val="Balloon Text"/>
    <w:basedOn w:val="a"/>
    <w:link w:val="Char0"/>
    <w:uiPriority w:val="99"/>
    <w:semiHidden/>
    <w:unhideWhenUsed/>
    <w:rsid w:val="00911ACE"/>
    <w:rPr>
      <w:sz w:val="18"/>
      <w:szCs w:val="18"/>
    </w:rPr>
  </w:style>
  <w:style w:type="character" w:customStyle="1" w:styleId="Char0">
    <w:name w:val="批注框文本 Char"/>
    <w:basedOn w:val="a0"/>
    <w:link w:val="a7"/>
    <w:uiPriority w:val="99"/>
    <w:semiHidden/>
    <w:rsid w:val="00911ACE"/>
    <w:rPr>
      <w:rFonts w:cs="Arial Unicode MS"/>
      <w:color w:val="000000"/>
      <w:kern w:val="2"/>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4</Pages>
  <Words>249</Words>
  <Characters>1424</Characters>
  <Application>Microsoft Office Word</Application>
  <DocSecurity>0</DocSecurity>
  <Lines>11</Lines>
  <Paragraphs>3</Paragraphs>
  <ScaleCrop>false</ScaleCrop>
  <Company>Lenovo</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04</cp:lastModifiedBy>
  <cp:revision>7</cp:revision>
  <cp:lastPrinted>2019-12-05T01:00:00Z</cp:lastPrinted>
  <dcterms:created xsi:type="dcterms:W3CDTF">2019-12-04T08:45:00Z</dcterms:created>
  <dcterms:modified xsi:type="dcterms:W3CDTF">2020-12-29T04:56:00Z</dcterms:modified>
</cp:coreProperties>
</file>