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D5" w:rsidRPr="000D3732" w:rsidRDefault="00DE77D5" w:rsidP="00DE77D5">
      <w:pPr>
        <w:widowControl/>
        <w:rPr>
          <w:rFonts w:ascii="仿宋" w:hAnsi="仿宋"/>
          <w:sz w:val="28"/>
          <w:szCs w:val="32"/>
        </w:rPr>
      </w:pPr>
      <w:r w:rsidRPr="00726CD9">
        <w:rPr>
          <w:rFonts w:ascii="黑体" w:eastAsia="黑体" w:hAnsi="黑体"/>
          <w:sz w:val="30"/>
        </w:rPr>
        <w:t>附件</w:t>
      </w:r>
      <w:r>
        <w:rPr>
          <w:rFonts w:ascii="黑体" w:eastAsia="黑体" w:hAnsi="黑体" w:hint="eastAsia"/>
          <w:sz w:val="30"/>
        </w:rPr>
        <w:t>2</w:t>
      </w:r>
    </w:p>
    <w:p w:rsidR="00DE77D5" w:rsidRPr="00726CD9" w:rsidRDefault="00DE77D5" w:rsidP="00DE77D5">
      <w:pPr>
        <w:widowControl/>
        <w:jc w:val="left"/>
        <w:rPr>
          <w:rFonts w:ascii="黑体" w:eastAsia="黑体" w:hAnsi="黑体"/>
          <w:sz w:val="15"/>
          <w:szCs w:val="15"/>
        </w:rPr>
      </w:pPr>
    </w:p>
    <w:p w:rsidR="0052118B" w:rsidRDefault="00DE77D5" w:rsidP="0052118B">
      <w:pPr>
        <w:widowControl/>
        <w:jc w:val="center"/>
        <w:rPr>
          <w:rFonts w:ascii="仿宋" w:hAnsi="仿宋" w:hint="eastAsia"/>
          <w:b/>
          <w:szCs w:val="32"/>
        </w:rPr>
      </w:pPr>
      <w:r w:rsidRPr="00AB2F54">
        <w:rPr>
          <w:rFonts w:ascii="仿宋" w:hAnsi="仿宋" w:hint="eastAsia"/>
          <w:b/>
          <w:szCs w:val="32"/>
        </w:rPr>
        <w:t>吉林省202</w:t>
      </w:r>
      <w:r w:rsidR="0052118B">
        <w:rPr>
          <w:rFonts w:ascii="仿宋" w:hAnsi="仿宋" w:hint="eastAsia"/>
          <w:b/>
          <w:szCs w:val="32"/>
        </w:rPr>
        <w:t>3</w:t>
      </w:r>
      <w:r w:rsidRPr="00AB2F54">
        <w:rPr>
          <w:rFonts w:ascii="仿宋" w:hAnsi="仿宋" w:hint="eastAsia"/>
          <w:b/>
          <w:szCs w:val="32"/>
        </w:rPr>
        <w:t>年度行业自律检查资产评估机构名单</w:t>
      </w:r>
      <w:bookmarkStart w:id="0" w:name="_GoBack"/>
      <w:bookmarkEnd w:id="0"/>
    </w:p>
    <w:p w:rsidR="0052118B" w:rsidRPr="0052118B" w:rsidRDefault="0052118B" w:rsidP="0052118B">
      <w:pPr>
        <w:widowControl/>
        <w:jc w:val="center"/>
        <w:rPr>
          <w:rFonts w:ascii="仿宋" w:hAnsi="仿宋"/>
          <w:b/>
          <w:sz w:val="10"/>
          <w:szCs w:val="1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7986"/>
      </w:tblGrid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</w:p>
        </w:tc>
        <w:tc>
          <w:tcPr>
            <w:tcW w:w="7986" w:type="dxa"/>
          </w:tcPr>
          <w:p w:rsidR="0052118B" w:rsidRPr="005E7110" w:rsidRDefault="0052118B" w:rsidP="0099538F">
            <w:pPr>
              <w:rPr>
                <w:rFonts w:hint="eastAsia"/>
              </w:rPr>
            </w:pPr>
            <w:r w:rsidRPr="005E7110">
              <w:rPr>
                <w:rFonts w:hint="eastAsia"/>
              </w:rPr>
              <w:t>吉林天</w:t>
            </w:r>
            <w:proofErr w:type="gramStart"/>
            <w:r w:rsidRPr="005E7110">
              <w:rPr>
                <w:rFonts w:hint="eastAsia"/>
              </w:rPr>
              <w:t>华资产</w:t>
            </w:r>
            <w:proofErr w:type="gramEnd"/>
            <w:r w:rsidRPr="005E7110">
              <w:rPr>
                <w:rFonts w:hint="eastAsia"/>
              </w:rPr>
              <w:t>评估有限责任公司</w:t>
            </w:r>
          </w:p>
        </w:tc>
      </w:tr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  <w:tc>
          <w:tcPr>
            <w:tcW w:w="7986" w:type="dxa"/>
          </w:tcPr>
          <w:p w:rsidR="0052118B" w:rsidRPr="005E7110" w:rsidRDefault="0052118B" w:rsidP="0099538F">
            <w:pPr>
              <w:rPr>
                <w:rFonts w:hint="eastAsia"/>
              </w:rPr>
            </w:pPr>
            <w:r w:rsidRPr="005E7110">
              <w:rPr>
                <w:rFonts w:hint="eastAsia"/>
              </w:rPr>
              <w:t>吉林市百</w:t>
            </w:r>
            <w:proofErr w:type="gramStart"/>
            <w:r w:rsidRPr="005E7110">
              <w:rPr>
                <w:rFonts w:hint="eastAsia"/>
              </w:rPr>
              <w:t>益资产</w:t>
            </w:r>
            <w:proofErr w:type="gramEnd"/>
            <w:r w:rsidRPr="005E7110">
              <w:rPr>
                <w:rFonts w:hint="eastAsia"/>
              </w:rPr>
              <w:t>评估事务所</w:t>
            </w:r>
          </w:p>
        </w:tc>
      </w:tr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  <w:tc>
          <w:tcPr>
            <w:tcW w:w="7986" w:type="dxa"/>
          </w:tcPr>
          <w:p w:rsidR="0052118B" w:rsidRPr="005E7110" w:rsidRDefault="0052118B" w:rsidP="0099538F">
            <w:pPr>
              <w:rPr>
                <w:rFonts w:hint="eastAsia"/>
              </w:rPr>
            </w:pPr>
            <w:r w:rsidRPr="005E7110">
              <w:rPr>
                <w:rFonts w:hint="eastAsia"/>
              </w:rPr>
              <w:t>吉林正和信资产评估事务所有限责任公司</w:t>
            </w:r>
          </w:p>
        </w:tc>
      </w:tr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  <w:tc>
          <w:tcPr>
            <w:tcW w:w="7986" w:type="dxa"/>
          </w:tcPr>
          <w:p w:rsidR="0052118B" w:rsidRPr="005E7110" w:rsidRDefault="0052118B" w:rsidP="0099538F">
            <w:pPr>
              <w:rPr>
                <w:rFonts w:hint="eastAsia"/>
              </w:rPr>
            </w:pPr>
            <w:r w:rsidRPr="005E7110">
              <w:rPr>
                <w:rFonts w:hint="eastAsia"/>
              </w:rPr>
              <w:t>吉林</w:t>
            </w:r>
            <w:proofErr w:type="gramStart"/>
            <w:r w:rsidRPr="005E7110">
              <w:rPr>
                <w:rFonts w:hint="eastAsia"/>
              </w:rPr>
              <w:t>财智资产</w:t>
            </w:r>
            <w:proofErr w:type="gramEnd"/>
            <w:r w:rsidRPr="005E7110">
              <w:rPr>
                <w:rFonts w:hint="eastAsia"/>
              </w:rPr>
              <w:t>评估有限公司</w:t>
            </w:r>
          </w:p>
        </w:tc>
      </w:tr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</w:p>
        </w:tc>
        <w:tc>
          <w:tcPr>
            <w:tcW w:w="7986" w:type="dxa"/>
          </w:tcPr>
          <w:p w:rsidR="0052118B" w:rsidRPr="005E7110" w:rsidRDefault="0052118B" w:rsidP="0099538F">
            <w:pPr>
              <w:rPr>
                <w:rFonts w:hint="eastAsia"/>
              </w:rPr>
            </w:pPr>
            <w:r w:rsidRPr="005E7110">
              <w:rPr>
                <w:rFonts w:hint="eastAsia"/>
              </w:rPr>
              <w:t>吉林仲</w:t>
            </w:r>
            <w:proofErr w:type="gramStart"/>
            <w:r w:rsidRPr="005E7110">
              <w:rPr>
                <w:rFonts w:hint="eastAsia"/>
              </w:rPr>
              <w:t>谋资产</w:t>
            </w:r>
            <w:proofErr w:type="gramEnd"/>
            <w:r w:rsidRPr="005E7110">
              <w:rPr>
                <w:rFonts w:hint="eastAsia"/>
              </w:rPr>
              <w:t>评估有限责任公司</w:t>
            </w:r>
          </w:p>
        </w:tc>
      </w:tr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6</w:t>
            </w:r>
          </w:p>
        </w:tc>
        <w:tc>
          <w:tcPr>
            <w:tcW w:w="7986" w:type="dxa"/>
          </w:tcPr>
          <w:p w:rsidR="0052118B" w:rsidRPr="005E7110" w:rsidRDefault="0052118B" w:rsidP="0099538F">
            <w:pPr>
              <w:rPr>
                <w:rFonts w:hint="eastAsia"/>
              </w:rPr>
            </w:pPr>
            <w:r w:rsidRPr="005E7110">
              <w:rPr>
                <w:rFonts w:hint="eastAsia"/>
              </w:rPr>
              <w:t>延边经纬资产评估有限责任公司</w:t>
            </w:r>
          </w:p>
        </w:tc>
      </w:tr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7</w:t>
            </w:r>
          </w:p>
        </w:tc>
        <w:tc>
          <w:tcPr>
            <w:tcW w:w="7986" w:type="dxa"/>
          </w:tcPr>
          <w:p w:rsidR="0052118B" w:rsidRPr="005E7110" w:rsidRDefault="0052118B" w:rsidP="0099538F">
            <w:pPr>
              <w:rPr>
                <w:rFonts w:hint="eastAsia"/>
              </w:rPr>
            </w:pPr>
            <w:r w:rsidRPr="005E7110">
              <w:rPr>
                <w:rFonts w:hint="eastAsia"/>
              </w:rPr>
              <w:t>吉林方舟资产评估有限公司</w:t>
            </w:r>
          </w:p>
        </w:tc>
      </w:tr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8</w:t>
            </w:r>
          </w:p>
        </w:tc>
        <w:tc>
          <w:tcPr>
            <w:tcW w:w="7986" w:type="dxa"/>
          </w:tcPr>
          <w:p w:rsidR="0052118B" w:rsidRPr="005E7110" w:rsidRDefault="0052118B" w:rsidP="0099538F">
            <w:pPr>
              <w:rPr>
                <w:rFonts w:hint="eastAsia"/>
              </w:rPr>
            </w:pPr>
            <w:r w:rsidRPr="005E7110">
              <w:rPr>
                <w:rFonts w:hint="eastAsia"/>
              </w:rPr>
              <w:t>吉林省金莉达资产评估有限公司</w:t>
            </w:r>
          </w:p>
        </w:tc>
      </w:tr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/>
                <w:szCs w:val="32"/>
              </w:rPr>
              <w:t>9</w:t>
            </w:r>
          </w:p>
        </w:tc>
        <w:tc>
          <w:tcPr>
            <w:tcW w:w="7986" w:type="dxa"/>
          </w:tcPr>
          <w:p w:rsidR="0052118B" w:rsidRPr="005E7110" w:rsidRDefault="0052118B" w:rsidP="0099538F">
            <w:pPr>
              <w:rPr>
                <w:rFonts w:hint="eastAsia"/>
              </w:rPr>
            </w:pPr>
            <w:r w:rsidRPr="005E7110">
              <w:rPr>
                <w:rFonts w:hint="eastAsia"/>
              </w:rPr>
              <w:t>吉林精美晋德房地产土地资产评估有限公司</w:t>
            </w:r>
          </w:p>
        </w:tc>
      </w:tr>
      <w:tr w:rsidR="0052118B" w:rsidTr="0052118B">
        <w:trPr>
          <w:jc w:val="center"/>
        </w:trPr>
        <w:tc>
          <w:tcPr>
            <w:tcW w:w="536" w:type="dxa"/>
          </w:tcPr>
          <w:p w:rsidR="0052118B" w:rsidRDefault="0052118B" w:rsidP="00904EED">
            <w:pPr>
              <w:widowControl/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>
              <w:rPr>
                <w:rFonts w:ascii="仿宋" w:hAnsi="仿宋"/>
                <w:szCs w:val="32"/>
              </w:rPr>
              <w:t>0</w:t>
            </w:r>
          </w:p>
        </w:tc>
        <w:tc>
          <w:tcPr>
            <w:tcW w:w="7986" w:type="dxa"/>
          </w:tcPr>
          <w:p w:rsidR="0052118B" w:rsidRDefault="0052118B" w:rsidP="0099538F">
            <w:r w:rsidRPr="005E7110">
              <w:rPr>
                <w:rFonts w:hint="eastAsia"/>
              </w:rPr>
              <w:t>吉林省房地利美房地产土地资产评估有限公司</w:t>
            </w:r>
          </w:p>
        </w:tc>
      </w:tr>
    </w:tbl>
    <w:p w:rsidR="00DE77D5" w:rsidRPr="00726CD9" w:rsidRDefault="00DE77D5" w:rsidP="00DE77D5">
      <w:pPr>
        <w:widowControl/>
        <w:jc w:val="center"/>
        <w:rPr>
          <w:rFonts w:ascii="仿宋" w:hAnsi="仿宋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DE77D5" w:rsidRDefault="00DE77D5" w:rsidP="00DE77D5">
      <w:pPr>
        <w:pStyle w:val="HTML"/>
        <w:adjustRightInd w:val="0"/>
        <w:snapToGrid w:val="0"/>
        <w:spacing w:line="6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p w:rsidR="00CB48DC" w:rsidRPr="00DE77D5" w:rsidRDefault="00CB48DC" w:rsidP="00DE77D5"/>
    <w:sectPr w:rsidR="00CB48DC" w:rsidRPr="00DE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E9" w:rsidRDefault="00D160E9" w:rsidP="00831D41">
      <w:r>
        <w:separator/>
      </w:r>
    </w:p>
  </w:endnote>
  <w:endnote w:type="continuationSeparator" w:id="0">
    <w:p w:rsidR="00D160E9" w:rsidRDefault="00D160E9" w:rsidP="0083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E9" w:rsidRDefault="00D160E9" w:rsidP="00831D41">
      <w:r>
        <w:separator/>
      </w:r>
    </w:p>
  </w:footnote>
  <w:footnote w:type="continuationSeparator" w:id="0">
    <w:p w:rsidR="00D160E9" w:rsidRDefault="00D160E9" w:rsidP="0083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4"/>
    <w:rsid w:val="0052118B"/>
    <w:rsid w:val="00831D41"/>
    <w:rsid w:val="00852D85"/>
    <w:rsid w:val="008C5938"/>
    <w:rsid w:val="00AA2CE4"/>
    <w:rsid w:val="00CB48DC"/>
    <w:rsid w:val="00D160E9"/>
    <w:rsid w:val="00D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41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D41"/>
    <w:rPr>
      <w:sz w:val="18"/>
      <w:szCs w:val="18"/>
    </w:rPr>
  </w:style>
  <w:style w:type="paragraph" w:styleId="HTML">
    <w:name w:val="HTML Preformatted"/>
    <w:basedOn w:val="a"/>
    <w:link w:val="HTMLChar"/>
    <w:rsid w:val="0083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831D41"/>
    <w:rPr>
      <w:rFonts w:ascii="黑体" w:eastAsia="黑体" w:hAnsi="Courier New" w:cs="Courier New"/>
      <w:kern w:val="0"/>
      <w:sz w:val="20"/>
      <w:szCs w:val="20"/>
    </w:rPr>
  </w:style>
  <w:style w:type="table" w:styleId="a5">
    <w:name w:val="Table Grid"/>
    <w:basedOn w:val="a1"/>
    <w:uiPriority w:val="59"/>
    <w:rsid w:val="00831D41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41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D41"/>
    <w:rPr>
      <w:sz w:val="18"/>
      <w:szCs w:val="18"/>
    </w:rPr>
  </w:style>
  <w:style w:type="paragraph" w:styleId="HTML">
    <w:name w:val="HTML Preformatted"/>
    <w:basedOn w:val="a"/>
    <w:link w:val="HTMLChar"/>
    <w:rsid w:val="0083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831D41"/>
    <w:rPr>
      <w:rFonts w:ascii="黑体" w:eastAsia="黑体" w:hAnsi="Courier New" w:cs="Courier New"/>
      <w:kern w:val="0"/>
      <w:sz w:val="20"/>
      <w:szCs w:val="20"/>
    </w:rPr>
  </w:style>
  <w:style w:type="table" w:styleId="a5">
    <w:name w:val="Table Grid"/>
    <w:basedOn w:val="a1"/>
    <w:uiPriority w:val="59"/>
    <w:rsid w:val="00831D41"/>
    <w:rPr>
      <w:rFonts w:ascii="Arial" w:eastAsia="仿宋" w:hAnsi="Arial"/>
      <w:sz w:val="32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04</cp:lastModifiedBy>
  <cp:revision>2</cp:revision>
  <dcterms:created xsi:type="dcterms:W3CDTF">2023-09-08T06:27:00Z</dcterms:created>
  <dcterms:modified xsi:type="dcterms:W3CDTF">2023-09-08T06:27:00Z</dcterms:modified>
</cp:coreProperties>
</file>